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:rsidR="00D81404" w:rsidRDefault="00374F8A">
      <w:pPr>
        <w:ind w:left="22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/>
        </w:rPr>
        <w:drawing>
          <wp:inline distT="0" distB="0" distL="0" distR="0">
            <wp:extent cx="1097314" cy="854773"/>
            <wp:effectExtent l="0" t="0" r="0" b="0"/>
            <wp:docPr id="1" name="image1.jpg" descr="Descripción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314" cy="85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val="es-CL"/>
        </w:rPr>
        <w:drawing>
          <wp:inline distT="0" distB="0" distL="0" distR="0">
            <wp:extent cx="1163388" cy="739133"/>
            <wp:effectExtent l="0" t="0" r="0" b="0"/>
            <wp:docPr id="2" name="image2.jpg" descr="C:\Users\Cristián\Downloads\IMG-20180307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ristián\Downloads\IMG-20180307-WA00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88" cy="739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81404" w:rsidRDefault="00374F8A">
      <w:pPr>
        <w:pStyle w:val="Ttulo1"/>
        <w:spacing w:before="52"/>
        <w:ind w:left="1548" w:right="1562"/>
        <w:jc w:val="center"/>
      </w:pPr>
      <w:r>
        <w:t xml:space="preserve">CONVOCATORIA </w:t>
      </w:r>
    </w:p>
    <w:p w:rsidR="00D81404" w:rsidRDefault="00374F8A">
      <w:pPr>
        <w:pStyle w:val="Ttulo1"/>
        <w:spacing w:before="52"/>
        <w:ind w:left="1548" w:right="1562"/>
        <w:jc w:val="center"/>
        <w:rPr>
          <w:u w:val="none"/>
        </w:rPr>
      </w:pPr>
      <w:r>
        <w:t xml:space="preserve">16° FESTIVAL DANZA QUILPUÉ DANZA 2020 COMPAÑÍAS DE DANZA REGIÓN DE VALPARAÍSO 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1"/>
        <w:ind w:left="102"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i/>
          <w:color w:val="000000"/>
          <w:sz w:val="24"/>
          <w:szCs w:val="24"/>
        </w:rPr>
        <w:t>16° FESTIVAL DANZA</w:t>
      </w:r>
      <w:r>
        <w:rPr>
          <w:b/>
          <w:i/>
          <w:sz w:val="24"/>
          <w:szCs w:val="24"/>
        </w:rPr>
        <w:t>QUILPUE</w:t>
      </w:r>
      <w:r>
        <w:rPr>
          <w:b/>
          <w:i/>
          <w:color w:val="000000"/>
          <w:sz w:val="24"/>
          <w:szCs w:val="24"/>
        </w:rPr>
        <w:t xml:space="preserve"> DANZA se</w:t>
      </w:r>
      <w:r>
        <w:rPr>
          <w:color w:val="000000"/>
          <w:sz w:val="24"/>
          <w:szCs w:val="24"/>
        </w:rPr>
        <w:t xml:space="preserve"> realizar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el viernes 17 de abril </w:t>
      </w:r>
      <w:r w:rsidR="00891814">
        <w:rPr>
          <w:color w:val="000000"/>
          <w:sz w:val="24"/>
          <w:szCs w:val="24"/>
        </w:rPr>
        <w:t xml:space="preserve">de </w:t>
      </w:r>
      <w:r w:rsidR="00DB1D06">
        <w:rPr>
          <w:color w:val="000000"/>
          <w:sz w:val="24"/>
          <w:szCs w:val="24"/>
        </w:rPr>
        <w:t>2020</w:t>
      </w:r>
      <w:r w:rsidR="00891814">
        <w:rPr>
          <w:color w:val="000000"/>
          <w:sz w:val="24"/>
          <w:szCs w:val="24"/>
        </w:rPr>
        <w:t>,</w:t>
      </w:r>
      <w:r w:rsidR="00DB1D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DB1D06">
        <w:rPr>
          <w:color w:val="000000"/>
          <w:sz w:val="24"/>
          <w:szCs w:val="24"/>
        </w:rPr>
        <w:t>n el Teatro Municipal</w:t>
      </w:r>
      <w:r>
        <w:rPr>
          <w:color w:val="000000"/>
          <w:sz w:val="24"/>
          <w:szCs w:val="24"/>
        </w:rPr>
        <w:t xml:space="preserve"> Juan </w:t>
      </w:r>
      <w:r w:rsidR="00DB1D06">
        <w:rPr>
          <w:color w:val="000000"/>
          <w:sz w:val="24"/>
          <w:szCs w:val="24"/>
        </w:rPr>
        <w:t>Bustos Ramírez de Quilpué</w:t>
      </w:r>
      <w:r>
        <w:rPr>
          <w:color w:val="000000"/>
          <w:sz w:val="24"/>
          <w:szCs w:val="24"/>
        </w:rPr>
        <w:t>.  Organizado por el Centro Cultural de las Artes Danza Quilpué Danza</w:t>
      </w:r>
      <w:r w:rsidR="00891814">
        <w:rPr>
          <w:color w:val="000000"/>
          <w:sz w:val="24"/>
          <w:szCs w:val="24"/>
        </w:rPr>
        <w:t>, en conjunto con la Ilustre Municipalidad de Quilpué</w:t>
      </w:r>
      <w:r>
        <w:rPr>
          <w:color w:val="000000"/>
          <w:sz w:val="24"/>
          <w:szCs w:val="24"/>
        </w:rPr>
        <w:t xml:space="preserve">. El </w:t>
      </w:r>
      <w:r w:rsidR="00891814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bjeti</w:t>
      </w:r>
      <w:r w:rsidR="00DB1D06">
        <w:rPr>
          <w:color w:val="000000"/>
          <w:sz w:val="24"/>
          <w:szCs w:val="24"/>
        </w:rPr>
        <w:t xml:space="preserve">vo ha sido siempre visibilizar y </w:t>
      </w:r>
      <w:r>
        <w:rPr>
          <w:color w:val="000000"/>
          <w:sz w:val="24"/>
          <w:szCs w:val="24"/>
        </w:rPr>
        <w:t xml:space="preserve">entregar espacios de encuentro a </w:t>
      </w:r>
      <w:r w:rsidR="0089181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ompañías de </w:t>
      </w:r>
      <w:r w:rsidR="0089181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anza profesionales</w:t>
      </w:r>
      <w:r w:rsidR="008918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la Región de Valparaíso, que les permita difundir su</w:t>
      </w:r>
      <w:r w:rsidR="00891814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trabajos coreográficos, en esta gran celebración del Día Internacional de la Danza.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1404" w:rsidRDefault="00374F8A">
      <w:pPr>
        <w:pStyle w:val="Ttulo1"/>
        <w:ind w:left="1547" w:right="1562"/>
        <w:jc w:val="center"/>
        <w:rPr>
          <w:u w:val="none"/>
        </w:rPr>
      </w:pPr>
      <w:r>
        <w:t>BASES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:rsidR="00D81404" w:rsidRDefault="00374F8A">
      <w:pPr>
        <w:spacing w:before="51"/>
        <w:ind w:left="102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1.- Sobre los Postulantes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2" w:line="259" w:lineRule="auto"/>
        <w:ind w:left="102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1.1.- En la presente convocatoria, podrán participar los elencos, compañías y/o grupos de danza de la Región de Valparaíso, que </w:t>
      </w:r>
      <w:r>
        <w:rPr>
          <w:sz w:val="24"/>
          <w:szCs w:val="24"/>
        </w:rPr>
        <w:t>cultiven</w:t>
      </w:r>
      <w:r>
        <w:rPr>
          <w:b/>
          <w:color w:val="000000"/>
          <w:sz w:val="24"/>
          <w:szCs w:val="24"/>
        </w:rPr>
        <w:t xml:space="preserve"> distintas disciplinas de la danza.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uyos integrantes sean chilenos y/o extranjeros y que acrediten 5 o más años de trayectoria en el ámbito de la danza, mediante imágenes, videos, sitios web, recortes de prensa y otros.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D81404" w:rsidRDefault="00374F8A">
      <w:pPr>
        <w:spacing w:line="259" w:lineRule="auto"/>
        <w:ind w:left="102" w:right="11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1.2.- Las coreografías podrán ser de temática libre y con una duración máxima de 25 minutos, pudiendo ser una adaptación de una obra de mayor duración. </w:t>
      </w:r>
      <w:r>
        <w:rPr>
          <w:b/>
          <w:sz w:val="24"/>
          <w:szCs w:val="24"/>
        </w:rPr>
        <w:t>Deberá adjuntar registro audiovisual completo de la propuesta coreográfica.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5"/>
          <w:szCs w:val="25"/>
        </w:rPr>
      </w:pPr>
    </w:p>
    <w:p w:rsidR="00D81404" w:rsidRDefault="00374F8A">
      <w:pPr>
        <w:pStyle w:val="Ttulo1"/>
        <w:rPr>
          <w:u w:val="none"/>
        </w:rPr>
      </w:pPr>
      <w:r>
        <w:t xml:space="preserve">2.- Consideraciones </w:t>
      </w:r>
      <w:r w:rsidR="00891814">
        <w:t>t</w:t>
      </w:r>
      <w:r>
        <w:t xml:space="preserve">écnico - </w:t>
      </w:r>
      <w:r w:rsidR="00891814">
        <w:t>l</w:t>
      </w:r>
      <w:r>
        <w:t>ogísticas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3"/>
          <w:szCs w:val="23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2" w:line="259" w:lineRule="auto"/>
        <w:ind w:left="102"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2.1.- Las propuestas deberán adecuarse al espacio escénico del Teatro Municipal Juan Bustos Ramírez (que incluye piso de danza) y a su ficha técnica (adjunta a las presentes bases). Además, podrá considerar escenografía de fácil montaje y desmontaje, tomando en cuenta que serán varios los elencos los que se presentarán en una jornada.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2.2.- Cada Compañía o elenco deberá considerar su propia planta de iluminación y técnico iluminador para acompañar en todo instante el trabajo del equipo técnico del Teatro durante el montaje y controlar la consola de iluminación durante la presentación.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5"/>
          <w:szCs w:val="25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102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2.3.- Cada Compañía o elenco deberá procurar sus traslados, tanto de quienes participan en el montaje y de la escenografía si la hubiese, y adecuarse a los horarios de ensayo y presentación que determine la organización en caso de ser seleccionados.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1404" w:rsidRDefault="00374F8A">
      <w:pPr>
        <w:pStyle w:val="Ttulo1"/>
        <w:spacing w:before="185"/>
        <w:rPr>
          <w:u w:val="none"/>
        </w:rPr>
      </w:pPr>
      <w:r>
        <w:t>3.- Formalidades de la postulación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D81404" w:rsidRDefault="00374F8A" w:rsidP="00891814">
      <w:pPr>
        <w:pBdr>
          <w:top w:val="nil"/>
          <w:left w:val="nil"/>
          <w:bottom w:val="nil"/>
          <w:right w:val="nil"/>
          <w:between w:val="nil"/>
        </w:pBdr>
        <w:spacing w:before="52"/>
        <w:ind w:lef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3.1.- La única forma de postulación será a través del formulario </w:t>
      </w:r>
      <w:proofErr w:type="spellStart"/>
      <w:r>
        <w:rPr>
          <w:color w:val="000000"/>
          <w:sz w:val="24"/>
          <w:szCs w:val="24"/>
        </w:rPr>
        <w:t>on</w:t>
      </w:r>
      <w:proofErr w:type="spellEnd"/>
      <w:r>
        <w:rPr>
          <w:color w:val="000000"/>
          <w:sz w:val="24"/>
          <w:szCs w:val="24"/>
        </w:rPr>
        <w:t xml:space="preserve"> line en la web </w:t>
      </w:r>
      <w:hyperlink r:id="rId6">
        <w:r>
          <w:rPr>
            <w:color w:val="0000FF"/>
            <w:sz w:val="24"/>
            <w:szCs w:val="24"/>
            <w:u w:val="single"/>
          </w:rPr>
          <w:t>www.quilpue.cl</w:t>
        </w:r>
      </w:hyperlink>
      <w:r w:rsidR="00891814" w:rsidRPr="00891814">
        <w:rPr>
          <w:color w:val="0000FF"/>
          <w:sz w:val="24"/>
          <w:szCs w:val="24"/>
        </w:rPr>
        <w:t xml:space="preserve"> </w:t>
      </w:r>
      <w:hyperlink r:id="rId7"/>
      <w:r>
        <w:rPr>
          <w:color w:val="000000"/>
          <w:sz w:val="24"/>
          <w:szCs w:val="24"/>
        </w:rPr>
        <w:t>y completado en su totalidad por el responsable de cada compañía o elenco.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color w:val="000000"/>
          <w:sz w:val="24"/>
          <w:szCs w:val="24"/>
        </w:rPr>
      </w:pPr>
      <w:r w:rsidRPr="00374F8A">
        <w:rPr>
          <w:color w:val="000000"/>
          <w:sz w:val="24"/>
          <w:szCs w:val="24"/>
        </w:rPr>
        <w:t>3.2.- Todo el material adicional, podrá ser enviado en sobre cerrado, dirigido a Ana Ponce, Directora de Cultura de la I. Municipalidad de Quilpué</w:t>
      </w:r>
      <w:r w:rsidR="0077797C">
        <w:rPr>
          <w:color w:val="000000"/>
          <w:sz w:val="24"/>
          <w:szCs w:val="24"/>
        </w:rPr>
        <w:t xml:space="preserve">, </w:t>
      </w:r>
      <w:r w:rsidRPr="00374F8A">
        <w:rPr>
          <w:color w:val="000000"/>
          <w:sz w:val="24"/>
          <w:szCs w:val="24"/>
        </w:rPr>
        <w:t xml:space="preserve">en Aníbal Pinto </w:t>
      </w:r>
      <w:r w:rsidR="0077797C">
        <w:rPr>
          <w:color w:val="000000"/>
          <w:sz w:val="24"/>
          <w:szCs w:val="24"/>
        </w:rPr>
        <w:t>N°</w:t>
      </w:r>
      <w:r w:rsidRPr="00374F8A">
        <w:rPr>
          <w:color w:val="000000"/>
          <w:sz w:val="24"/>
          <w:szCs w:val="24"/>
        </w:rPr>
        <w:t>6</w:t>
      </w:r>
      <w:r w:rsidR="0077797C">
        <w:rPr>
          <w:color w:val="000000"/>
          <w:sz w:val="24"/>
          <w:szCs w:val="24"/>
        </w:rPr>
        <w:t>34, tercer piso</w:t>
      </w:r>
      <w:r w:rsidRPr="00374F8A">
        <w:rPr>
          <w:color w:val="000000"/>
          <w:sz w:val="24"/>
          <w:szCs w:val="24"/>
        </w:rPr>
        <w:t>, Quilpué</w:t>
      </w:r>
      <w:r w:rsidR="0077797C">
        <w:rPr>
          <w:color w:val="000000"/>
          <w:sz w:val="24"/>
          <w:szCs w:val="24"/>
        </w:rPr>
        <w:t>, in</w:t>
      </w:r>
      <w:r w:rsidRPr="00374F8A">
        <w:rPr>
          <w:rFonts w:eastAsia="Arial" w:cs="Arial"/>
          <w:color w:val="000000"/>
          <w:sz w:val="24"/>
          <w:szCs w:val="24"/>
        </w:rPr>
        <w:t>dicando nombre de la Compañía o  elenco remitente y postulación al “16° Festival DQD” o a los correos</w:t>
      </w:r>
      <w:r w:rsidR="00891814">
        <w:rPr>
          <w:rFonts w:eastAsia="Arial" w:cs="Arial"/>
          <w:color w:val="000000"/>
          <w:sz w:val="24"/>
          <w:szCs w:val="24"/>
        </w:rPr>
        <w:t xml:space="preserve"> </w:t>
      </w:r>
      <w:hyperlink r:id="rId8" w:history="1">
        <w:r w:rsidR="00891814" w:rsidRPr="00590E8B">
          <w:rPr>
            <w:rStyle w:val="Hipervnculo"/>
            <w:rFonts w:eastAsia="Arial" w:cs="Arial"/>
            <w:sz w:val="24"/>
            <w:szCs w:val="24"/>
          </w:rPr>
          <w:t>danzaquilpuedanza@gmail.com</w:t>
        </w:r>
      </w:hyperlink>
      <w:r w:rsidR="00891814">
        <w:rPr>
          <w:rFonts w:eastAsia="Arial" w:cs="Arial"/>
          <w:color w:val="000000"/>
          <w:sz w:val="24"/>
          <w:szCs w:val="24"/>
        </w:rPr>
        <w:t xml:space="preserve"> con copia a </w:t>
      </w:r>
      <w:r w:rsidRPr="00374F8A">
        <w:rPr>
          <w:color w:val="0000FF"/>
          <w:sz w:val="24"/>
          <w:szCs w:val="24"/>
          <w:u w:val="single"/>
        </w:rPr>
        <w:t>gestioncultural@quilpue.cl</w:t>
      </w:r>
    </w:p>
    <w:p w:rsidR="00891814" w:rsidRDefault="00891814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color w:val="000000"/>
          <w:sz w:val="24"/>
          <w:szCs w:val="24"/>
        </w:rPr>
      </w:pPr>
    </w:p>
    <w:p w:rsidR="00891814" w:rsidRDefault="00891814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sz w:val="24"/>
          <w:szCs w:val="24"/>
        </w:rPr>
      </w:pPr>
    </w:p>
    <w:p w:rsidR="0077797C" w:rsidRDefault="0077797C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sz w:val="24"/>
          <w:szCs w:val="24"/>
        </w:rPr>
      </w:pPr>
    </w:p>
    <w:p w:rsidR="0077797C" w:rsidRPr="00374F8A" w:rsidRDefault="0077797C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sz w:val="24"/>
          <w:szCs w:val="24"/>
        </w:rPr>
      </w:pP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</w:pPr>
    </w:p>
    <w:p w:rsidR="00D81404" w:rsidRDefault="00374F8A" w:rsidP="00891814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3.3.- El plazo de postulación para la presente convocatoria se extenderá desde la publicación de estas bases, hasta las 17:00 horas del </w:t>
      </w:r>
      <w:r>
        <w:rPr>
          <w:sz w:val="24"/>
          <w:szCs w:val="24"/>
        </w:rPr>
        <w:t>v</w:t>
      </w:r>
      <w:r w:rsidR="00891814">
        <w:rPr>
          <w:color w:val="000000"/>
          <w:sz w:val="24"/>
          <w:szCs w:val="24"/>
        </w:rPr>
        <w:t>iernes 20 de marzo del presente año.</w:t>
      </w:r>
    </w:p>
    <w:p w:rsidR="00891814" w:rsidRDefault="00891814" w:rsidP="00891814">
      <w:pPr>
        <w:pBdr>
          <w:top w:val="nil"/>
          <w:left w:val="nil"/>
          <w:bottom w:val="nil"/>
          <w:right w:val="nil"/>
          <w:between w:val="nil"/>
        </w:pBdr>
        <w:spacing w:before="52" w:line="244" w:lineRule="auto"/>
        <w:ind w:left="102" w:right="115"/>
        <w:jc w:val="both"/>
        <w:rPr>
          <w:color w:val="000000"/>
          <w:sz w:val="24"/>
          <w:szCs w:val="24"/>
        </w:rPr>
      </w:pPr>
    </w:p>
    <w:p w:rsidR="00D81404" w:rsidRDefault="00374F8A">
      <w:pPr>
        <w:pStyle w:val="Ttulo1"/>
        <w:jc w:val="left"/>
        <w:rPr>
          <w:u w:val="none"/>
        </w:rPr>
      </w:pPr>
      <w:r>
        <w:t>4.- De la Evaluación y Selección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1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4.1.- El proceso de eval</w:t>
      </w:r>
      <w:bookmarkStart w:id="0" w:name="_GoBack"/>
      <w:bookmarkEnd w:id="0"/>
      <w:r>
        <w:rPr>
          <w:color w:val="000000"/>
          <w:sz w:val="24"/>
          <w:szCs w:val="24"/>
        </w:rPr>
        <w:t xml:space="preserve">uación y selección será realizado por un comité integrado por </w:t>
      </w:r>
      <w:proofErr w:type="spellStart"/>
      <w:r>
        <w:rPr>
          <w:color w:val="000000"/>
          <w:sz w:val="24"/>
          <w:szCs w:val="24"/>
        </w:rPr>
        <w:t>Anitamaría</w:t>
      </w:r>
      <w:proofErr w:type="spellEnd"/>
      <w:r>
        <w:rPr>
          <w:color w:val="000000"/>
          <w:sz w:val="24"/>
          <w:szCs w:val="24"/>
        </w:rPr>
        <w:t xml:space="preserve"> Saavedra </w:t>
      </w:r>
      <w:proofErr w:type="spellStart"/>
      <w:r>
        <w:rPr>
          <w:color w:val="000000"/>
          <w:sz w:val="24"/>
          <w:szCs w:val="24"/>
        </w:rPr>
        <w:t>Basaure</w:t>
      </w:r>
      <w:proofErr w:type="spellEnd"/>
      <w:r>
        <w:rPr>
          <w:color w:val="000000"/>
          <w:sz w:val="24"/>
          <w:szCs w:val="24"/>
        </w:rPr>
        <w:t xml:space="preserve">, Coreógrafa y Gestora Cultural de destacada trayectoria y Creadora del Festival; Patricia Vila Vallejos, Profesional de la Danza 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Coordinadora del Festival; Macarena Berrios, Administradora del Teatro Municipal Juan Bustos Ramírez y Ana Ponce, Directora de Cultura de la Municipalidad de Quilpué.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4.2.- Los criterios a evaluar por el comité serán: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882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309"/>
      </w:tblGrid>
      <w:tr w:rsidR="00D81404">
        <w:trPr>
          <w:trHeight w:val="1466"/>
        </w:trPr>
        <w:tc>
          <w:tcPr>
            <w:tcW w:w="4520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Antecedentes de Compañías o Elencos profesionales</w:t>
            </w:r>
          </w:p>
          <w:p w:rsidR="00D81404" w:rsidRDefault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hanging="107"/>
              <w:rPr>
                <w:color w:val="000000"/>
                <w:sz w:val="24"/>
                <w:szCs w:val="24"/>
              </w:rPr>
            </w:pPr>
          </w:p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considerará para este punto el materialenviado en la postulación como respaldo de su experiencia.</w:t>
            </w:r>
          </w:p>
        </w:tc>
        <w:tc>
          <w:tcPr>
            <w:tcW w:w="4309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</w:p>
        </w:tc>
      </w:tr>
      <w:tr w:rsidR="00D81404">
        <w:trPr>
          <w:trHeight w:val="1756"/>
        </w:trPr>
        <w:tc>
          <w:tcPr>
            <w:tcW w:w="4520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Viabilidad Técnica</w:t>
            </w:r>
          </w:p>
          <w:p w:rsidR="00D81404" w:rsidRDefault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107"/>
              <w:rPr>
                <w:color w:val="000000"/>
                <w:sz w:val="23"/>
                <w:szCs w:val="23"/>
              </w:rPr>
            </w:pPr>
          </w:p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6" w:hanging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evaluará respecto a que los requerimientos técnicos se adecúen a la ficha técnica del espacio y también a las condiciones de presentación.</w:t>
            </w:r>
          </w:p>
        </w:tc>
        <w:tc>
          <w:tcPr>
            <w:tcW w:w="4309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</w:tr>
      <w:tr w:rsidR="00D81404">
        <w:trPr>
          <w:trHeight w:val="1465"/>
        </w:trPr>
        <w:tc>
          <w:tcPr>
            <w:tcW w:w="4520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Obra</w:t>
            </w:r>
          </w:p>
          <w:p w:rsidR="00D81404" w:rsidRDefault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hanging="107"/>
              <w:rPr>
                <w:color w:val="000000"/>
                <w:sz w:val="23"/>
                <w:szCs w:val="23"/>
              </w:rPr>
            </w:pPr>
          </w:p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 w:hanging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evaluará la originalidad en tanto temática de la obra, ejecución técnica y puesta en escena.</w:t>
            </w:r>
          </w:p>
        </w:tc>
        <w:tc>
          <w:tcPr>
            <w:tcW w:w="4309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D81404">
        <w:trPr>
          <w:trHeight w:val="292"/>
        </w:trPr>
        <w:tc>
          <w:tcPr>
            <w:tcW w:w="4520" w:type="dxa"/>
          </w:tcPr>
          <w:p w:rsidR="00D81404" w:rsidRDefault="00D8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</w:tcPr>
          <w:p w:rsidR="00D81404" w:rsidRDefault="0037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hanging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ind w:left="102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4.3.- El comité seleccionará 4 </w:t>
      </w:r>
      <w:r>
        <w:rPr>
          <w:sz w:val="24"/>
          <w:szCs w:val="24"/>
        </w:rPr>
        <w:t>obras</w:t>
      </w:r>
      <w:r>
        <w:rPr>
          <w:color w:val="000000"/>
          <w:sz w:val="24"/>
          <w:szCs w:val="24"/>
        </w:rPr>
        <w:t xml:space="preserve">, pudiendo disminuirse este número, </w:t>
      </w:r>
      <w:r>
        <w:rPr>
          <w:sz w:val="24"/>
          <w:szCs w:val="24"/>
        </w:rPr>
        <w:t>dependiendo de</w:t>
      </w:r>
      <w:r>
        <w:rPr>
          <w:color w:val="000000"/>
          <w:sz w:val="24"/>
          <w:szCs w:val="24"/>
        </w:rPr>
        <w:t xml:space="preserve"> la calidad de las propuestas recibidas.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D81404" w:rsidRPr="0077797C" w:rsidRDefault="00374F8A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4.4.- La selección será publicada en el sitio web </w:t>
      </w:r>
      <w:hyperlink r:id="rId9">
        <w:r>
          <w:rPr>
            <w:color w:val="0000FF"/>
            <w:sz w:val="24"/>
            <w:szCs w:val="24"/>
            <w:u w:val="single"/>
          </w:rPr>
          <w:t>www.quilpue.cl</w:t>
        </w:r>
      </w:hyperlink>
      <w:r w:rsidR="0077797C" w:rsidRPr="0077797C">
        <w:rPr>
          <w:color w:val="0000FF"/>
          <w:sz w:val="24"/>
          <w:szCs w:val="24"/>
        </w:rPr>
        <w:t xml:space="preserve"> </w:t>
      </w:r>
      <w:hyperlink r:id="rId10"/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lunes 30  de marzo </w:t>
      </w:r>
      <w:r w:rsidR="0077797C">
        <w:rPr>
          <w:b/>
          <w:color w:val="000000"/>
          <w:sz w:val="24"/>
          <w:szCs w:val="24"/>
        </w:rPr>
        <w:t xml:space="preserve">de </w:t>
      </w:r>
      <w:r w:rsidRPr="0077797C">
        <w:rPr>
          <w:b/>
          <w:color w:val="000000"/>
          <w:sz w:val="24"/>
          <w:szCs w:val="24"/>
        </w:rPr>
        <w:t>2020.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52"/>
        <w:ind w:left="102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4.5.- En el caso de que postulantes seleccionados desistan de su participación, se convocará a quienes hayan quedado en lista de espera con mejor evaluación según comité.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D81404" w:rsidRPr="00374F8A" w:rsidRDefault="00374F8A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02" w:right="120"/>
        <w:jc w:val="both"/>
        <w:rPr>
          <w:rFonts w:eastAsia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4.6.- </w:t>
      </w:r>
      <w:r w:rsidRPr="00374F8A">
        <w:rPr>
          <w:color w:val="000000"/>
          <w:sz w:val="24"/>
          <w:szCs w:val="24"/>
        </w:rPr>
        <w:t xml:space="preserve">En caso de empate entre 2 o más postulaciones, el criterio de desempate será primero </w:t>
      </w:r>
      <w:r w:rsidRPr="00374F8A">
        <w:rPr>
          <w:rFonts w:eastAsia="Arial" w:cs="Arial"/>
          <w:color w:val="000000"/>
          <w:sz w:val="24"/>
          <w:szCs w:val="24"/>
        </w:rPr>
        <w:t>el mayor puntaje en criterio “Obra”, en segunda instancia “Antecedentes del Elenco” y en tercer término “Viabilidad Técnica”.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5"/>
          <w:szCs w:val="25"/>
        </w:rPr>
      </w:pPr>
    </w:p>
    <w:p w:rsidR="00D81404" w:rsidRDefault="00374F8A">
      <w:pPr>
        <w:pStyle w:val="Ttulo1"/>
        <w:rPr>
          <w:u w:val="none"/>
        </w:rPr>
      </w:pPr>
      <w:r>
        <w:t>5.- Aceptación de las Bases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D81404" w:rsidRDefault="00374F8A" w:rsidP="00A27190">
      <w:pPr>
        <w:pBdr>
          <w:top w:val="nil"/>
          <w:left w:val="nil"/>
          <w:bottom w:val="nil"/>
          <w:right w:val="nil"/>
          <w:between w:val="nil"/>
        </w:pBdr>
        <w:spacing w:before="52"/>
        <w:ind w:left="102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5.1.- La postulación a la presente convocatoria, implica que, para todos los efectos legales, el inscrito conoce y acepta el contenido íntegro de las presentes bases y se sujetará a los resultados de su proceso.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1404" w:rsidRDefault="00374F8A">
      <w:pPr>
        <w:pStyle w:val="Ttulo1"/>
        <w:rPr>
          <w:u w:val="none"/>
        </w:rPr>
      </w:pPr>
      <w:r>
        <w:t>6.- Implicancias de la selección</w:t>
      </w:r>
    </w:p>
    <w:p w:rsidR="00D81404" w:rsidRDefault="00D8140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</w:p>
    <w:p w:rsidR="00D81404" w:rsidRDefault="00374F8A">
      <w:pPr>
        <w:spacing w:before="51" w:line="276" w:lineRule="auto"/>
        <w:ind w:left="102" w:right="1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6.1.- Las obras seleccionadas deberán presentarse el </w:t>
      </w:r>
      <w:r>
        <w:rPr>
          <w:b/>
          <w:sz w:val="24"/>
          <w:szCs w:val="24"/>
        </w:rPr>
        <w:t>viernes 17 de abril</w:t>
      </w:r>
      <w:r w:rsidR="007779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en orden dispuesto por la organización a contar de las </w:t>
      </w:r>
      <w:r>
        <w:rPr>
          <w:b/>
          <w:sz w:val="24"/>
          <w:szCs w:val="24"/>
        </w:rPr>
        <w:t>19:00 horas.</w:t>
      </w:r>
    </w:p>
    <w:p w:rsidR="0077797C" w:rsidRDefault="0077797C">
      <w:pPr>
        <w:spacing w:before="51" w:line="276" w:lineRule="auto"/>
        <w:ind w:left="102" w:right="116"/>
        <w:jc w:val="both"/>
        <w:rPr>
          <w:b/>
          <w:sz w:val="24"/>
          <w:szCs w:val="24"/>
        </w:rPr>
      </w:pPr>
    </w:p>
    <w:p w:rsidR="0077797C" w:rsidRDefault="0077797C">
      <w:pPr>
        <w:spacing w:before="51" w:line="276" w:lineRule="auto"/>
        <w:ind w:left="102" w:right="116"/>
        <w:jc w:val="both"/>
        <w:rPr>
          <w:b/>
          <w:sz w:val="24"/>
          <w:szCs w:val="24"/>
        </w:rPr>
      </w:pPr>
    </w:p>
    <w:p w:rsidR="0077797C" w:rsidRDefault="0077797C">
      <w:pPr>
        <w:spacing w:before="51" w:line="276" w:lineRule="auto"/>
        <w:ind w:left="102" w:right="116"/>
        <w:jc w:val="both"/>
        <w:rPr>
          <w:b/>
          <w:sz w:val="24"/>
          <w:szCs w:val="24"/>
        </w:rPr>
      </w:pPr>
    </w:p>
    <w:p w:rsidR="0077797C" w:rsidRDefault="0077797C">
      <w:pPr>
        <w:spacing w:before="51" w:line="276" w:lineRule="auto"/>
        <w:ind w:left="102" w:right="116"/>
        <w:jc w:val="both"/>
        <w:rPr>
          <w:b/>
          <w:sz w:val="24"/>
          <w:szCs w:val="24"/>
        </w:rPr>
      </w:pPr>
    </w:p>
    <w:p w:rsidR="00D81404" w:rsidRDefault="00374F8A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102" w:right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6.2.- Un representante de cada elenco, deberá asistir a reunión previa de coordinación técnico-logística en dependencias del Teatro Municipal Juan Bustos Ramírez, en día y hora por confirmar por la organización, con el objetivo de definir planta de iluminación estándar.</w:t>
      </w:r>
    </w:p>
    <w:p w:rsidR="00D81404" w:rsidRDefault="00374F8A" w:rsidP="0077797C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102" w:right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.3.- La presentación de las obras seleccionadas serán remuneradas de la siguiente forma:</w:t>
      </w:r>
    </w:p>
    <w:p w:rsidR="00D81404" w:rsidRDefault="00374F8A" w:rsidP="0077797C">
      <w:pPr>
        <w:pBdr>
          <w:top w:val="nil"/>
          <w:left w:val="nil"/>
          <w:bottom w:val="nil"/>
          <w:right w:val="nil"/>
          <w:between w:val="nil"/>
        </w:pBdr>
        <w:spacing w:before="46"/>
        <w:ind w:lef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$ 250.000 </w:t>
      </w:r>
      <w:r w:rsidR="0077797C">
        <w:rPr>
          <w:color w:val="000000"/>
          <w:sz w:val="24"/>
          <w:szCs w:val="24"/>
        </w:rPr>
        <w:t>retención incluida,</w:t>
      </w:r>
      <w:r>
        <w:rPr>
          <w:color w:val="000000"/>
          <w:sz w:val="24"/>
          <w:szCs w:val="24"/>
        </w:rPr>
        <w:t xml:space="preserve"> a través de contratación a honorarios.</w:t>
      </w:r>
    </w:p>
    <w:p w:rsidR="00D81404" w:rsidRDefault="00D81404" w:rsidP="007779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D81404" w:rsidRDefault="00374F8A" w:rsidP="0077797C">
      <w:pPr>
        <w:pStyle w:val="Ttulo1"/>
        <w:spacing w:before="1"/>
        <w:rPr>
          <w:u w:val="none"/>
        </w:rPr>
      </w:pPr>
      <w:r>
        <w:t>7.- Informaciones</w:t>
      </w:r>
    </w:p>
    <w:p w:rsidR="00D81404" w:rsidRDefault="00D81404" w:rsidP="0077797C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15"/>
          <w:szCs w:val="15"/>
        </w:rPr>
      </w:pPr>
    </w:p>
    <w:p w:rsidR="00D81404" w:rsidRDefault="00374F8A" w:rsidP="0077797C">
      <w:p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2050"/>
          <w:tab w:val="left" w:pos="2465"/>
          <w:tab w:val="left" w:pos="4153"/>
          <w:tab w:val="left" w:pos="4659"/>
          <w:tab w:val="left" w:pos="5194"/>
          <w:tab w:val="left" w:pos="6437"/>
          <w:tab w:val="left" w:pos="6907"/>
          <w:tab w:val="left" w:pos="7842"/>
        </w:tabs>
        <w:spacing w:before="52" w:line="278" w:lineRule="auto"/>
        <w:ind w:left="102" w:righ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</w:t>
      </w:r>
      <w:r>
        <w:rPr>
          <w:color w:val="000000"/>
          <w:sz w:val="24"/>
          <w:szCs w:val="24"/>
        </w:rPr>
        <w:tab/>
        <w:t>consultas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informaciones</w:t>
      </w:r>
      <w:r>
        <w:rPr>
          <w:color w:val="000000"/>
          <w:sz w:val="24"/>
          <w:szCs w:val="24"/>
        </w:rPr>
        <w:tab/>
        <w:t>se</w:t>
      </w:r>
      <w:r>
        <w:rPr>
          <w:color w:val="000000"/>
          <w:sz w:val="24"/>
          <w:szCs w:val="24"/>
        </w:rPr>
        <w:tab/>
        <w:t>han</w:t>
      </w:r>
      <w:r>
        <w:rPr>
          <w:color w:val="000000"/>
          <w:sz w:val="24"/>
          <w:szCs w:val="24"/>
        </w:rPr>
        <w:tab/>
        <w:t>dispuesto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los</w:t>
      </w:r>
      <w:r>
        <w:rPr>
          <w:color w:val="000000"/>
          <w:sz w:val="24"/>
          <w:szCs w:val="24"/>
        </w:rPr>
        <w:tab/>
        <w:t>correos</w:t>
      </w:r>
      <w:r w:rsidR="0077797C">
        <w:rPr>
          <w:color w:val="000000"/>
          <w:sz w:val="24"/>
          <w:szCs w:val="24"/>
        </w:rPr>
        <w:t xml:space="preserve"> electrónicos </w:t>
      </w:r>
      <w:hyperlink r:id="rId11" w:history="1">
        <w:r w:rsidR="0077797C" w:rsidRPr="00590E8B">
          <w:rPr>
            <w:rStyle w:val="Hipervnculo"/>
            <w:sz w:val="24"/>
            <w:szCs w:val="24"/>
          </w:rPr>
          <w:t>danzaquilpuedanza@gmail.com</w:t>
        </w:r>
      </w:hyperlink>
      <w:r w:rsidR="0077797C">
        <w:rPr>
          <w:color w:val="000000"/>
          <w:sz w:val="24"/>
          <w:szCs w:val="24"/>
        </w:rPr>
        <w:t xml:space="preserve"> y </w:t>
      </w:r>
      <w:r>
        <w:rPr>
          <w:color w:val="0000FF"/>
          <w:sz w:val="24"/>
          <w:szCs w:val="24"/>
          <w:u w:val="single"/>
        </w:rPr>
        <w:t>gestioncultural@quilpue.cl</w:t>
      </w:r>
    </w:p>
    <w:sectPr w:rsidR="00D81404" w:rsidSect="0077797C">
      <w:pgSz w:w="12240" w:h="20160"/>
      <w:pgMar w:top="1560" w:right="1580" w:bottom="280" w:left="160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4"/>
    <w:rsid w:val="00374F8A"/>
    <w:rsid w:val="0077797C"/>
    <w:rsid w:val="00891814"/>
    <w:rsid w:val="009C28D9"/>
    <w:rsid w:val="00A27190"/>
    <w:rsid w:val="00D81404"/>
    <w:rsid w:val="00DB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E43"/>
  <w15:docId w15:val="{38EB77C1-D042-42CE-994B-F601AE7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8D9"/>
  </w:style>
  <w:style w:type="paragraph" w:styleId="Ttulo1">
    <w:name w:val="heading 1"/>
    <w:basedOn w:val="Normal"/>
    <w:next w:val="Normal"/>
    <w:rsid w:val="009C28D9"/>
    <w:pPr>
      <w:ind w:left="102"/>
      <w:jc w:val="both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rsid w:val="009C2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C2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C28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C28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C2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C2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C28D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C2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28D9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1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zaquilpuedanz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quilpue.c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lpue.cl/" TargetMode="External"/><Relationship Id="rId11" Type="http://schemas.openxmlformats.org/officeDocument/2006/relationships/hyperlink" Target="mailto:danzaquilpuedanza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quilpue.c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quilpue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HP</cp:lastModifiedBy>
  <cp:revision>2</cp:revision>
  <dcterms:created xsi:type="dcterms:W3CDTF">2020-03-03T15:37:00Z</dcterms:created>
  <dcterms:modified xsi:type="dcterms:W3CDTF">2020-03-03T15:37:00Z</dcterms:modified>
</cp:coreProperties>
</file>